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draw upon</w:t>
      </w:r>
      <w:r>
        <w:t xml:space="preserve"> </w:t>
      </w:r>
      <w:r>
        <w:rPr>
          <w:i/>
        </w:rPr>
        <w:t xml:space="preserve">##</w:t>
      </w:r>
      <w:r>
        <w:t xml:space="preserve"> </w:t>
      </w:r>
      <w:r>
        <w:t xml:space="preserve">records from</w:t>
      </w:r>
      <w:r>
        <w:t xml:space="preserve"> </w:t>
      </w:r>
      <w:r>
        <w:rPr>
          <w:i/>
        </w:rPr>
        <w:t xml:space="preserve">##</w:t>
      </w:r>
      <w:r>
        <w:t xml:space="preserve"> </w:t>
      </w:r>
      <w:r>
        <w:t xml:space="preserve">geographic locations representing</w:t>
      </w:r>
      <w:r>
        <w:t xml:space="preserve"> </w:t>
      </w:r>
      <w:r>
        <w:rPr>
          <w:i/>
        </w:rPr>
        <w:t xml:space="preserve">##</w:t>
      </w:r>
      <w:r>
        <w:t xml:space="preserve"> </w:t>
      </w:r>
      <w:r>
        <w:t xml:space="preserve">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v.XX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t xml:space="preserve">This analysis yields a comprehensive and broadly consistent picture of C cycling across the world’s forests.</w:t>
      </w:r>
      <w:r>
        <w:t xml:space="preserve"> </w:t>
      </w:r>
      <w:r>
        <w:rPr>
          <w:i/>
        </w:rPr>
        <w:t xml:space="preserve">[Discussion section will interpret results, highlighting new and significant findings, and discuss implications. Tentative headings are</w:t>
      </w:r>
      <w:r>
        <w:rPr>
          <w:i/>
        </w:rPr>
        <w:t xml:space="preserve"> </w:t>
      </w:r>
      <w:r>
        <w:rPr>
          <w:i/>
        </w:rPr>
        <w:t xml:space="preserve">“</w:t>
      </w:r>
      <w:r>
        <w:rPr>
          <w:i/>
        </w:rPr>
        <w:t xml:space="preserve">Stand level C cycling in forests globally</w:t>
      </w:r>
      <w:r>
        <w:rPr>
          <w:i/>
        </w:rPr>
        <w:t xml:space="preserve">”</w:t>
      </w:r>
      <w:r>
        <w:rPr>
          <w:i/>
        </w:rPr>
        <w:t xml:space="preserve">,</w:t>
      </w:r>
      <w:r>
        <w:rPr>
          <w:i/>
        </w:rPr>
        <w:t xml:space="preserve"> </w:t>
      </w:r>
      <w:r>
        <w:rPr>
          <w:i/>
        </w:rPr>
        <w:t xml:space="preserve">“</w:t>
      </w:r>
      <w:r>
        <w:rPr>
          <w:i/>
        </w:rPr>
        <w:t xml:space="preserve">Age trends in C cycling</w:t>
      </w:r>
      <w:r>
        <w:rPr>
          <w:i/>
        </w:rPr>
        <w:t xml:space="preserve">”</w:t>
      </w:r>
      <w:r>
        <w:rPr>
          <w:i/>
        </w:rPr>
        <w:t xml:space="preserve">, and</w:t>
      </w:r>
      <w:r>
        <w:rPr>
          <w:i/>
        </w:rPr>
        <w:t xml:space="preserve"> </w:t>
      </w:r>
      <w:r>
        <w:rPr>
          <w:i/>
        </w:rPr>
        <w:t xml:space="preserve">“</w:t>
      </w:r>
      <w:r>
        <w:rPr>
          <w:i/>
        </w:rPr>
        <w:t xml:space="preserve">Implications for climate change mitigation</w:t>
      </w:r>
      <w:r>
        <w:rPr>
          <w:i/>
        </w:rPr>
        <w:t xml:space="preserve">”</w:t>
      </w:r>
      <w:r>
        <w:rPr>
          <w:i/>
        </w:rPr>
        <w:t xml:space="preserve">.]</w:t>
      </w:r>
    </w:p>
    <w:p>
      <w:pPr>
        <w:pStyle w:val="BodyText"/>
      </w:pPr>
      <w:r>
        <w:rPr>
          <w:i/>
        </w:rPr>
        <w:t xml:space="preserve">Key words</w:t>
      </w:r>
      <w:r>
        <w:t xml:space="preserve">: forest ecosystems; carbon cycle; stand age; productivity; respiration; biomass; global</w:t>
      </w:r>
    </w:p>
    <w:p>
      <w:pPr>
        <w:pStyle w:val="Heading2"/>
      </w:pPr>
      <w:bookmarkStart w:id="22" w:name="background"/>
      <w:r>
        <w:t xml:space="preserve">Background</w:t>
      </w:r>
      <w:bookmarkEnd w:id="22"/>
    </w:p>
    <w:p>
      <w:pPr>
        <w:pStyle w:val="FirstParagraph"/>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was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this sink is dependent both upon forest responses to a broad suite of global change drivers and to future land use decisions, and will strongly influence the course of climate change.</w:t>
      </w:r>
      <w:r>
        <w:t xml:space="preserve"> </w:t>
      </w:r>
      <w:r>
        <w:t xml:space="preserve">Regrowth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 and growing proportion of Earth’s forests.</w:t>
      </w:r>
      <w:r>
        <w:t xml:space="preserve"> </w:t>
      </w:r>
      <w:r>
        <w:t xml:space="preserve">Understanding, modeling, and managing forest-atmosphere CO</w:t>
      </w:r>
      <w:r>
        <w:rPr>
          <w:vertAlign w:val="subscript"/>
        </w:rPr>
        <w:t xml:space="preserve">2</w:t>
      </w:r>
      <w:r>
        <w:t xml:space="preserve"> </w:t>
      </w:r>
      <w:r>
        <w:t xml:space="preserve">exchange is thereby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 Cavaleri et al 2015].</w:t>
      </w:r>
    </w:p>
    <w:p>
      <w:pPr>
        <w:pStyle w:val="BodyText"/>
      </w:pPr>
      <w:r>
        <w:t xml:space="preserve">Despite the centrality of forest C cycling in regulating atmospheric CO</w:t>
      </w:r>
      <w:r>
        <w:rPr>
          <w:vertAlign w:val="subscript"/>
        </w:rPr>
        <w:t xml:space="preserve">2</w:t>
      </w:r>
      <w:r>
        <w:t xml:space="preserve">, important uncertainties in climate models [</w:t>
      </w:r>
      <w:r>
        <w:t xml:space="preserve">(</w:t>
      </w:r>
      <w:r>
        <w:rPr>
          <w:b/>
        </w:rPr>
        <w:t xml:space="preserve">???</w:t>
      </w:r>
      <w:r>
        <w:t xml:space="preserve">)</w:t>
      </w:r>
      <w:r>
        <w:t xml:space="preserve">;</w:t>
      </w:r>
      <w:r>
        <w:t xml:space="preserve"> </w:t>
      </w:r>
      <w:r>
        <w:t xml:space="preserve">Krause</w:t>
      </w:r>
      <w:r>
        <w:t xml:space="preserve"> </w:t>
      </w:r>
      <w:r>
        <w:rPr>
          <w:i/>
        </w:rPr>
        <w:t xml:space="preserve">et al</w:t>
      </w:r>
      <w:r>
        <w:t xml:space="preserve"> </w:t>
      </w:r>
      <w:r>
        <w:t xml:space="preserve">(2018)</w:t>
      </w:r>
      <w:r>
        <w:t xml:space="preserve">; REFS] 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 FLUXNET_REF),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(REFS).</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w:t>
      </w:r>
      <w:r>
        <w:t xml:space="preserve"> </w:t>
      </w:r>
      <w:r>
        <w:rPr>
          <w:b/>
        </w:rPr>
        <w:t xml:space="preserve">#</w:t>
      </w:r>
      <w:r>
        <w:t xml:space="preserve"> </w:t>
      </w:r>
      <w:r>
        <w:t xml:space="preserve">(~49,000!) records from</w:t>
      </w:r>
      <w:r>
        <w:t xml:space="preserve"> </w:t>
      </w:r>
      <w:r>
        <w:rPr>
          <w:b/>
        </w:rPr>
        <w:t xml:space="preserve">#</w:t>
      </w:r>
      <w:r>
        <w:t xml:space="preserve"> </w:t>
      </w:r>
      <w:r>
        <w:t xml:space="preserve">plots and</w:t>
      </w:r>
      <w:r>
        <w:t xml:space="preserve"> </w:t>
      </w:r>
      <w:r>
        <w:rPr>
          <w:b/>
        </w:rPr>
        <w:t xml:space="preserve">#</w:t>
      </w:r>
      <w:r>
        <w:t xml:space="preserve"> </w:t>
      </w:r>
      <w:r>
        <w:t xml:space="preserve">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2"/>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2"/>
          <w:ilvl w:val="0"/>
        </w:numPr>
      </w:pPr>
      <w:r>
        <w:t xml:space="preserve">How do C cycling vary across the world’s major forest biomes?</w:t>
      </w:r>
    </w:p>
    <w:p>
      <w:pPr>
        <w:numPr>
          <w:numId w:val="1002"/>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thereby stands to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 REFS)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yet these represented only approximately one-third of records in ForC 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(SRDB v.##; Bond-Lamberty and Thomson 2010)</w:t>
      </w:r>
      <w:r>
        <w:t xml:space="preserve">, the Global Reforestation Opportunity Assessment database</w:t>
      </w:r>
      <w:r>
        <w:t xml:space="preserve"> </w:t>
      </w:r>
      <w:r>
        <w:t xml:space="preserve">(GROA v1.0;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 and data from several publications [e.g.,</w:t>
      </w:r>
      <w:r>
        <w:t xml:space="preserve"> </w:t>
      </w:r>
      <w:r>
        <w:t xml:space="preserve">Taylor</w:t>
      </w:r>
      <w:r>
        <w:t xml:space="preserve"> </w:t>
      </w:r>
      <w:r>
        <w:rPr>
          <w:i/>
        </w:rPr>
        <w:t xml:space="preserve">et al</w:t>
      </w:r>
      <w:r>
        <w:t xml:space="preserve"> </w:t>
      </w:r>
      <w:r>
        <w:t xml:space="preserve">(2017)</w:t>
      </w:r>
      <w:r>
        <w:t xml:space="preserve">,</w:t>
      </w:r>
      <w:r>
        <w:t xml:space="preserve"> </w:t>
      </w:r>
      <w:r>
        <w:t xml:space="preserve">Lutz</w:t>
      </w:r>
      <w:r>
        <w:t xml:space="preserve"> </w:t>
      </w:r>
      <w:r>
        <w:rPr>
          <w:i/>
        </w:rPr>
        <w:t xml:space="preserve">et al</w:t>
      </w:r>
      <w:r>
        <w:t xml:space="preserve"> </w:t>
      </w:r>
      <w:r>
        <w:t xml:space="preserve">(2018)</w:t>
      </w:r>
      <w:r>
        <w:t xml:space="preserve">,</w:t>
      </w:r>
      <w:r>
        <w:t xml:space="preserve"> </w:t>
      </w:r>
      <w:r>
        <w:t xml:space="preserve">Johnson</w:t>
      </w:r>
      <w:r>
        <w:t xml:space="preserve"> </w:t>
      </w:r>
      <w:r>
        <w:rPr>
          <w:i/>
        </w:rPr>
        <w:t xml:space="preserve">et al</w:t>
      </w:r>
      <w:r>
        <w:t xml:space="preserve"> </w:t>
      </w:r>
      <w:r>
        <w:t xml:space="preserve">(2018)</w:t>
      </w:r>
      <w:r>
        <w:t xml:space="preserve">; detailed list at</w:t>
      </w:r>
      <w:r>
        <w:t xml:space="preserve"> </w:t>
      </w:r>
      <w:hyperlink r:id="rId26">
        <w:r>
          <w:rPr>
            <w:rStyle w:val="Hyperlink"/>
          </w:rPr>
          <w:t xml:space="preserve">https://github.com/forc-db/ForC/blob/master/database_management_records/ForC_data_additions_log.csv</w:t>
        </w:r>
      </w:hyperlink>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 REFS).</w:t>
      </w:r>
      <w:r>
        <w:t xml:space="preserve"> </w:t>
      </w:r>
      <w:r>
        <w:t xml:space="preserve">The database version used for this analysis has been tagged as a new release on Github (XX) and assigned a DOI through Zenodo (DOI: TBD).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Records for which stand age was unknown (#% of total database) were excluded from the analysis.</w:t>
      </w:r>
      <w:r>
        <w:t xml:space="preserve"> </w:t>
      </w:r>
      <w:r>
        <w:t xml:space="preserve">These groupings covered</w:t>
      </w:r>
      <w:r>
        <w:t xml:space="preserve"> </w:t>
      </w:r>
      <w:r>
        <w:rPr>
          <w:i/>
        </w:rPr>
        <w:t xml:space="preserve">#%</w:t>
      </w:r>
      <w:r>
        <w:t xml:space="preserve"> </w:t>
      </w:r>
      <w:r>
        <w:t xml:space="preserve">of the primary variable records for forests of known age, or</w:t>
      </w:r>
      <w:r>
        <w:t xml:space="preserve"> </w:t>
      </w:r>
      <w:r>
        <w:rPr>
          <w:i/>
        </w:rPr>
        <w:t xml:space="preserve">#%</w:t>
      </w:r>
      <w:r>
        <w:t xml:space="preserve"> </w:t>
      </w:r>
      <w:r>
        <w:t xml:space="preserve">of total records.</w:t>
      </w:r>
      <w:r>
        <w:t xml:space="preserve"> </w:t>
      </w:r>
      <w:r>
        <w:t xml:space="preserve">The most well-represented forest types excluded were boreal broadleaf and boreal and temperate mixed broadleaf-needleleaf, each with</w:t>
      </w:r>
      <w:r>
        <w:t xml:space="preserve"> </w:t>
      </w:r>
      <w:r>
        <w:rPr>
          <w:i/>
        </w:rPr>
        <w:t xml:space="preserve">#</w:t>
      </w:r>
      <w:r>
        <w:t xml:space="preserve"> </w:t>
      </w:r>
      <w:r>
        <w:t xml:space="preserve">records total.</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(Tables 1, S#(variable mapping)).</w:t>
      </w:r>
      <w:r>
        <w:t xml:space="preserve"> </w:t>
      </w:r>
      <w:r>
        <w:t xml:space="preserve">Throughout ForC, for all measurements drawing from tree census data (</w:t>
      </w:r>
      <w:r>
        <w:rPr>
          <w:i/>
        </w:rPr>
        <w:t xml:space="preserve">e.g.</w:t>
      </w:r>
      <w:r>
        <w:t xml:space="preserve">, biomass, productivity), the minimum stem diameter sampled was</w:t>
      </w:r>
      <w:r>
        <w:t xml:space="preserve"> </w:t>
      </w:r>
      <m:oMath>
        <m:r>
          <m:t>≤</m:t>
        </m:r>
      </m:oMath>
      <w:r>
        <w:t xml:space="preserve"> </w:t>
      </w:r>
      <w:r>
        <w:t xml:space="preserve">10cm. All records were measured directly or derived from field measurements (as opposed to modeled).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w:t>
      </w:r>
      <w:r>
        <w:t xml:space="preserve"> </w:t>
      </w:r>
      <w:r>
        <w:t xml:space="preserve">Records were filtered to remove plots that had undergone significant anthropogenic management or major disturbance since the most recent stand establishment (</w:t>
      </w:r>
      <w:r>
        <w:rPr>
          <w:i/>
        </w:rPr>
        <w:t xml:space="preserve">i.e.</w:t>
      </w:r>
      <w:r>
        <w:t xml:space="preserve">, that reflected by stand.age).</w:t>
      </w:r>
      <w:r>
        <w:t xml:space="preserve"> </w:t>
      </w:r>
      <w:r>
        <w:t xml:space="preserve">Specifically, we removed all plots flagged as managed in ForC-simplified (managed field).</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br/>
      </w:r>
      <w:r>
        <w:t xml:space="preserve">Plots flagged as disturbed in ForC-simplified included stands that had undergone anthropogenic thinning or partial harvest (</w:t>
      </w:r>
      <w:r>
        <w:t xml:space="preserve">“</w:t>
      </w:r>
      <w:r>
        <w:t xml:space="preserve">Cut</w:t>
      </w:r>
      <w:r>
        <w:t xml:space="preserve">”</w:t>
      </w:r>
      <w:r>
        <w:t xml:space="preserve"> </w:t>
      </w:r>
      <w:r>
        <w:t xml:space="preserve">or</w:t>
      </w:r>
      <w:r>
        <w:t xml:space="preserve"> </w:t>
      </w:r>
      <w:r>
        <w:t xml:space="preserve">“</w:t>
      </w:r>
      <w:r>
        <w:t xml:space="preserve">Harvest</w:t>
      </w:r>
      <w:r>
        <w:t xml:space="preserve">”</w:t>
      </w:r>
      <w:r>
        <w:t xml:space="preserve"> </w:t>
      </w:r>
      <w:r>
        <w:t xml:space="preserve">codes) unless this was very minor (percent.mortality=</w:t>
      </w:r>
      <w:r>
        <w:t xml:space="preserve"> </w:t>
      </w:r>
      <w:r>
        <w:t xml:space="preserve">“</w:t>
      </w:r>
      <w:r>
        <w:t xml:space="preserve">minor</w:t>
      </w:r>
      <w:r>
        <w:t xml:space="preserve">”</w:t>
      </w:r>
      <w:r>
        <w:t xml:space="preserve">).</w:t>
      </w:r>
      <w:r>
        <w:t xml:space="preserve"> </w:t>
      </w:r>
      <w:r>
        <w:t xml:space="preserve">We retained sites that were grazed or had undergone low severity natural disturbances (&lt;10% mortality) including droughts, major storms, fires, and floods.</w:t>
      </w:r>
      <w:r>
        <w:t xml:space="preserve"> </w:t>
      </w:r>
      <w:r>
        <w:t xml:space="preserve">We also removed all plots for which no stand history information had been retrieved.</w:t>
      </w:r>
    </w:p>
    <w:p>
      <w:pPr>
        <w:pStyle w:val="BodyText"/>
      </w:pPr>
      <w:r>
        <w:t xml:space="preserve">Data were analyzed to produce basic summaries of C cycle patterns across biomes and stand ages.</w:t>
      </w:r>
      <w:r>
        <w:t xml:space="preserve"> </w:t>
      </w:r>
      <w:r>
        <w:rPr>
          <w:b/>
        </w:rPr>
        <w:t xml:space="preserve">(this par &amp; following are confusing/ incomplete–needs work)</w:t>
      </w:r>
      <w:r>
        <w:t xml:space="preserve"> </w:t>
      </w:r>
      <w:r>
        <w:t xml:space="preserve">For mature forests, 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r>
        <w:t xml:space="preserve"> </w:t>
      </w:r>
      <w:r>
        <w:t xml:space="preserve">Finally, for figures 6 and 7,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 There were enough data to run this analysis for all focal variables but</w:t>
      </w:r>
      <w:r>
        <w:t xml:space="preserve"> </w:t>
      </w:r>
      <m:oMath>
        <m:r>
          <m:t>D</m:t>
        </m:r>
        <m:sSub>
          <m:e>
            <m:r>
              <m:t>W</m:t>
            </m:r>
          </m:e>
          <m:sub>
            <m:r>
              <m:t>d</m:t>
            </m:r>
            <m:r>
              <m:t>o</m:t>
            </m:r>
            <m:r>
              <m:t>w</m:t>
            </m:r>
            <m:r>
              <m:t>n</m:t>
            </m:r>
          </m:sub>
        </m:sSub>
      </m:oMath>
      <w:r>
        <w:t xml:space="preserve">.</w:t>
      </w:r>
    </w:p>
    <w:p>
      <w:pPr>
        <w:pStyle w:val="BodyText"/>
      </w:pPr>
      <w:r>
        <w:t xml:space="preserve">For young (&lt;100yrs) forest types,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r>
        <w:t xml:space="preserve"> </w:t>
      </w:r>
      <w:r>
        <w:t xml:space="preserve">In the C cycle schematics for young forests, we report equations based on these models.</w:t>
      </w:r>
      <w:r>
        <w:t xml:space="preserve"> </w:t>
      </w:r>
      <w:r>
        <w:t xml:space="preserve">In cases where there was no significant effect of stand.age, records were averaged as for mature stands.</w:t>
      </w:r>
    </w:p>
    <w:p>
      <w:pPr>
        <w:pStyle w:val="BodyText"/>
      </w:pPr>
      <w:r>
        <w:t xml:space="preserve">All database manipulation, analyses, and figure production were fully automated in R (version, citation).</w:t>
      </w:r>
      <w:r>
        <w:t xml:space="preserve"> </w:t>
      </w: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28" w:name="review-results-synthesis"/>
      <w:r>
        <w:t xml:space="preserve">Review Results/ Synthesis</w:t>
      </w:r>
      <w:bookmarkEnd w:id="28"/>
    </w:p>
    <w:p>
      <w:pPr>
        <w:pStyle w:val="FirstParagraph"/>
      </w:pPr>
      <w:r>
        <w:rPr>
          <w:i/>
        </w:rPr>
        <w:t xml:space="preserve">NOTE TO COAUTHORS: THIS SECTION HAS A TON OF FIGURES, BUT VERY LITTLE TEXT. IS THERE ANYTHING THAT SHOULD BE ADDED?</w:t>
      </w:r>
    </w:p>
    <w:p>
      <w:pPr>
        <w:pStyle w:val="Heading3"/>
      </w:pPr>
      <w:bookmarkStart w:id="29" w:name="data-coverage"/>
      <w:r>
        <w:t xml:space="preserve">Data Coverage</w:t>
      </w:r>
      <w:bookmarkEnd w:id="29"/>
    </w:p>
    <w:p>
      <w:pPr>
        <w:pStyle w:val="FirstParagraph"/>
      </w:pPr>
      <w:r>
        <w:t xml:space="preserve">Of the</w:t>
      </w:r>
      <w:r>
        <w:t xml:space="preserve"> </w:t>
      </w:r>
      <w:r>
        <w:rPr>
          <w:i/>
        </w:rPr>
        <w:t xml:space="preserve">#</w:t>
      </w:r>
      <w:r>
        <w:t xml:space="preserve"> </w:t>
      </w:r>
      <w:r>
        <w:t xml:space="preserve">records in ForC v.#,</w:t>
      </w:r>
      <w:r>
        <w:t xml:space="preserve"> </w:t>
      </w:r>
      <w:r>
        <w:rPr>
          <w:i/>
        </w:rPr>
        <w:t xml:space="preserve">#</w:t>
      </w:r>
      <w:r>
        <w:t xml:space="preserve"> </w:t>
      </w:r>
      <w:r>
        <w:t xml:space="preserve">met the criteria for inclusion in this study (Fig. 1).</w:t>
      </w:r>
      <w:r>
        <w:t xml:space="preserve"> </w:t>
      </w:r>
      <w:r>
        <w:t xml:space="preserve">These records were distributed across</w:t>
      </w:r>
      <w:r>
        <w:t xml:space="preserve"> </w:t>
      </w:r>
      <w:r>
        <w:rPr>
          <w:i/>
        </w:rPr>
        <w:t xml:space="preserve">#</w:t>
      </w:r>
      <w:r>
        <w:t xml:space="preserve"> </w:t>
      </w:r>
      <w:r>
        <w:t xml:space="preserve">plots in</w:t>
      </w:r>
      <w:r>
        <w:t xml:space="preserve"> </w:t>
      </w:r>
      <w:r>
        <w:rPr>
          <w:i/>
        </w:rPr>
        <w:t xml:space="preserve">#</w:t>
      </w:r>
      <w:r>
        <w:t xml:space="preserve"> </w:t>
      </w:r>
      <w:r>
        <w:t xml:space="preserve">distinct geographic areas.</w:t>
      </w:r>
      <w:r>
        <w:t xml:space="preserve"> </w:t>
      </w:r>
      <w:r>
        <w:t xml:space="preserve">Of the 23 flux and 11 stock variables mapped in these diagrams, ForC contained estimates from</w:t>
      </w:r>
      <w:r>
        <w:t xml:space="preserve"> </w:t>
      </w:r>
      <m:oMath>
        <m:r>
          <m:t>≥</m:t>
        </m:r>
      </m:oMath>
      <w:r>
        <w:t xml:space="preserve"> </w:t>
      </w:r>
      <w:r>
        <w:t xml:space="preserve">7 distinct geographic areas for</w:t>
      </w:r>
      <w:r>
        <w:t xml:space="preserve"> </w:t>
      </w:r>
      <w:r>
        <w:rPr>
          <w:i/>
        </w:rPr>
        <w:t xml:space="preserve">#</w:t>
      </w:r>
      <w:r>
        <w:t xml:space="preserve"> </w:t>
      </w:r>
      <w:r>
        <w:t xml:space="preserve">fluxes and</w:t>
      </w:r>
      <w:r>
        <w:t xml:space="preserve"> </w:t>
      </w:r>
      <w:r>
        <w:rPr>
          <w:i/>
        </w:rPr>
        <w:t xml:space="preserve">#</w:t>
      </w:r>
      <w:r>
        <w:t xml:space="preserve"> </w:t>
      </w:r>
      <w:r>
        <w:t xml:space="preserve">stocks in tropical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conifer forests, and fluxes and</w:t>
      </w:r>
      <w:r>
        <w:t xml:space="preserve"> </w:t>
      </w:r>
      <w:r>
        <w:rPr>
          <w:i/>
        </w:rPr>
        <w:t xml:space="preserve">#</w:t>
      </w:r>
      <w:r>
        <w:t xml:space="preserve"> </w:t>
      </w:r>
      <w:r>
        <w:t xml:space="preserve">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w:t>
      </w:r>
      <w:r>
        <w:t xml:space="preserve"> </w:t>
      </w:r>
      <w:r>
        <w:rPr>
          <w:i/>
        </w:rPr>
        <w:t xml:space="preserve">#</w:t>
      </w:r>
      <w:r>
        <w:t xml:space="preserve"> </w:t>
      </w:r>
      <w:r>
        <w:t xml:space="preserve">fluxes and</w:t>
      </w:r>
      <w:r>
        <w:t xml:space="preserve"> </w:t>
      </w:r>
      <w:r>
        <w:rPr>
          <w:i/>
        </w:rPr>
        <w:t xml:space="preserve">#</w:t>
      </w:r>
      <w:r>
        <w:t xml:space="preserve"> </w:t>
      </w:r>
      <w:r>
        <w:t xml:space="preserve">stocks in tropical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conifer forests, and fluxes and</w:t>
      </w:r>
      <w:r>
        <w:t xml:space="preserve"> </w:t>
      </w:r>
      <w:r>
        <w:rPr>
          <w:i/>
        </w:rPr>
        <w:t xml:space="preserve">#</w:t>
      </w:r>
      <w:r>
        <w:t xml:space="preserve"> </w:t>
      </w:r>
      <w:r>
        <w:t xml:space="preserve">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w:t>
      </w:r>
      <w:r>
        <w:t xml:space="preserve"> </w:t>
      </w:r>
      <w:r>
        <w:rPr>
          <w:b/>
        </w:rPr>
        <w:t xml:space="preserve">square root of flux divided by 5</w:t>
      </w:r>
      <w:r>
        <w:t xml:space="preserve">.</w:t>
      </w:r>
    </w:p>
    <w:p>
      <w:pPr>
        <w:pStyle w:val="CaptionedFigure"/>
      </w:pPr>
      <w:r>
        <w:drawing>
          <wp:inline>
            <wp:extent cx="5334000" cy="4267200"/>
            <wp:effectExtent b="0" l="0" r="0" t="0"/>
            <wp:docPr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greater in temperate broadleaf than conifer forests, but the difference was never significant.</w:t>
      </w:r>
      <w:r>
        <w:t xml:space="preserve"> </w:t>
      </w:r>
      <w:r>
        <w:t xml:space="preserve">This pattern held for the following variables:</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i/>
        </w:rPr>
        <w:t xml:space="preserve">#</w:t>
      </w:r>
      <w:r>
        <w:t xml:space="preserve"> </w:t>
      </w:r>
      <w:r>
        <w:t xml:space="preserve">of</w:t>
      </w:r>
      <w:r>
        <w:t xml:space="preserve"> </w:t>
      </w:r>
      <w:r>
        <w:rPr>
          <w:i/>
        </w:rPr>
        <w:t xml:space="preserve">#</w:t>
      </w:r>
      <w:r>
        <w:t xml:space="preserve"> </w:t>
      </w:r>
      <w:r>
        <w:t xml:space="preserve">variables:</w:t>
      </w:r>
      <w:r>
        <w:t xml:space="preserve"> </w:t>
      </w:r>
      <w:r>
        <w:rPr>
          <w:i/>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 1,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v.XX yielded a fairly comprehensive and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influenced by a different set of drivers.</w:t>
      </w:r>
    </w:p>
    <w:p>
      <w:pPr>
        <w:pStyle w:val="Heading3"/>
      </w:pPr>
      <w:bookmarkStart w:id="44" w:name="c-variable-coverage-and-budget-closure"/>
      <w:r>
        <w:t xml:space="preserve">C variable coverage and budget closure</w:t>
      </w:r>
      <w:bookmarkEnd w:id="44"/>
    </w:p>
    <w:p>
      <w:pPr>
        <w:pStyle w:val="FirstParagraph"/>
      </w:pPr>
      <w:r>
        <w:t xml:space="preserve">ForC provides fairly good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t xml:space="preserve">Closure of the C cycle budgets for mature forests (Figs. 2-5) is fairly good.</w:t>
      </w:r>
      <w:r>
        <w:t xml:space="preserve"> </w:t>
      </w:r>
      <w:r>
        <w:t xml:space="preserve">However, SD’s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45" w:name="c-cycling-across-biomes"/>
      <w:r>
        <w:t xml:space="preserve">C cycling across biomes</w:t>
      </w:r>
      <w:bookmarkEnd w:id="4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 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benchmark against multiple components of the C cycle.</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r>
        <w:t xml:space="preserve"> </w:t>
      </w:r>
      <w:r>
        <w:t xml:space="preserve">On a more cursory level, the values summarized here can serve as a sanity check for modelers to determine whether model predictions for multiple C cycle variables are reasonable–i.e., within the range of previous observations.</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There remain numerous data needs for improved accounting of forest carbon stocks and fluxes in GHG accounting.</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p>
    <w:p>
      <w:pPr>
        <w:pStyle w:val="BodyText"/>
      </w:pPr>
      <w:r>
        <w:t xml:space="preserve">Other variables cannot be remotely sensed.</w:t>
      </w:r>
      <w:r>
        <w:t xml:space="preserve"> </w:t>
      </w:r>
      <w:r>
        <w:t xml:space="preserve">In terms of C stocks, there is a paucity of data on dead wood and organic layer (Pan et al. ?).</w:t>
      </w:r>
      <w:r>
        <w:t xml:space="preserve"> </w:t>
      </w:r>
      <w:r>
        <w:t xml:space="preserve">These can be significant.</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48" w:name="acknowledgements"/>
      <w:r>
        <w:t xml:space="preserve">Acknowledgements</w:t>
      </w:r>
      <w:bookmarkEnd w:id="48"/>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49" w:name="references"/>
      <w:r>
        <w:t xml:space="preserve">References</w:t>
      </w:r>
      <w:bookmarkEnd w:id="49"/>
    </w:p>
    <w:bookmarkStart w:id="111" w:name="refs"/>
    <w:bookmarkStart w:id="51"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0">
        <w:r>
          <w:rPr>
            <w:rStyle w:val="Hyperlink"/>
          </w:rPr>
          <w:t xml:space="preserve">http://www.blackwell-synergy.com/doi/abs/10.1111/j.1461-0248.2006.00914.x</w:t>
        </w:r>
      </w:hyperlink>
    </w:p>
    <w:bookmarkEnd w:id="51"/>
    <w:bookmarkStart w:id="53"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2">
        <w:r>
          <w:rPr>
            <w:rStyle w:val="Hyperlink"/>
          </w:rPr>
          <w:t xml:space="preserve">https://zenodo.org/record/3983644</w:t>
        </w:r>
      </w:hyperlink>
    </w:p>
    <w:bookmarkEnd w:id="53"/>
    <w:bookmarkStart w:id="5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54">
        <w:r>
          <w:rPr>
            <w:rStyle w:val="Hyperlink"/>
          </w:rPr>
          <w:t xml:space="preserve">http://onlinelibrary.wiley.com/doi/10.1111/gcb.12712/abstract</w:t>
        </w:r>
      </w:hyperlink>
    </w:p>
    <w:bookmarkEnd w:id="55"/>
    <w:bookmarkStart w:id="57"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56">
        <w:r>
          <w:rPr>
            <w:rStyle w:val="Hyperlink"/>
          </w:rPr>
          <w:t xml:space="preserve">http://doi.wiley.com/10.1002/ecy.2229</w:t>
        </w:r>
      </w:hyperlink>
    </w:p>
    <w:bookmarkEnd w:id="57"/>
    <w:bookmarkStart w:id="59"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58">
        <w:r>
          <w:rPr>
            <w:rStyle w:val="Hyperlink"/>
          </w:rPr>
          <w:t xml:space="preserve">http://onlinelibrary.wiley.com/doi/10.1111/gcb.13226/abstract</w:t>
        </w:r>
      </w:hyperlink>
    </w:p>
    <w:bookmarkEnd w:id="59"/>
    <w:bookmarkStart w:id="61"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0">
        <w:r>
          <w:rPr>
            <w:rStyle w:val="Hyperlink"/>
          </w:rPr>
          <w:t xml:space="preserve">http://journals.ametsoc.org/doi/abs/10.1175/1520-0477(2001)082%3C2415:FANTTS%3E2.3.CO;2</w:t>
        </w:r>
      </w:hyperlink>
    </w:p>
    <w:bookmarkEnd w:id="61"/>
    <w:bookmarkStart w:id="62"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2"/>
    <w:bookmarkStart w:id="64"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63">
        <w:r>
          <w:rPr>
            <w:rStyle w:val="Hyperlink"/>
          </w:rPr>
          <w:t xml:space="preserve">http://www.sciencemag.org/cgi/content/abstract/320/5882/1444</w:t>
        </w:r>
      </w:hyperlink>
    </w:p>
    <w:bookmarkEnd w:id="64"/>
    <w:bookmarkStart w:id="66"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65">
        <w:r>
          <w:rPr>
            <w:rStyle w:val="Hyperlink"/>
          </w:rPr>
          <w:t xml:space="preserve">http://www.biogeosciences.net/7/1915/2010/</w:t>
        </w:r>
      </w:hyperlink>
    </w:p>
    <w:bookmarkEnd w:id="66"/>
    <w:bookmarkStart w:id="68"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67">
        <w:r>
          <w:rPr>
            <w:rStyle w:val="Hyperlink"/>
          </w:rPr>
          <w:t xml:space="preserve">https://doi.org/10.1007/s10712-019-09528-w</w:t>
        </w:r>
      </w:hyperlink>
    </w:p>
    <w:bookmarkEnd w:id="68"/>
    <w:bookmarkStart w:id="70"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69">
        <w:r>
          <w:rPr>
            <w:rStyle w:val="Hyperlink"/>
          </w:rPr>
          <w:t xml:space="preserve">https://onlinelibrary.wiley.com/doi/abs/10.1046/j.1461-0248.2003.00547.x</w:t>
        </w:r>
      </w:hyperlink>
    </w:p>
    <w:bookmarkEnd w:id="70"/>
    <w:bookmarkStart w:id="72"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1">
        <w:r>
          <w:rPr>
            <w:rStyle w:val="Hyperlink"/>
          </w:rPr>
          <w:t xml:space="preserve">http://www.nature.com/articles/s41586-020-2686-x</w:t>
        </w:r>
      </w:hyperlink>
    </w:p>
    <w:bookmarkEnd w:id="72"/>
    <w:bookmarkStart w:id="74"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3">
        <w:r>
          <w:rPr>
            <w:rStyle w:val="Hyperlink"/>
          </w:rPr>
          <w:t xml:space="preserve">http://science.sciencemag.org/content/361/6407/1108</w:t>
        </w:r>
      </w:hyperlink>
    </w:p>
    <w:bookmarkEnd w:id="74"/>
    <w:bookmarkStart w:id="76"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75">
        <w:r>
          <w:rPr>
            <w:rStyle w:val="Hyperlink"/>
          </w:rPr>
          <w:t xml:space="preserve">http://www.nature.com/articles/s41558-020-0738-8</w:t>
        </w:r>
      </w:hyperlink>
    </w:p>
    <w:bookmarkEnd w:id="76"/>
    <w:bookmarkStart w:id="78"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77">
        <w:r>
          <w:rPr>
            <w:rStyle w:val="Hyperlink"/>
          </w:rPr>
          <w:t xml:space="preserve">https://www.nature.com/articles/nclimate3227</w:t>
        </w:r>
      </w:hyperlink>
    </w:p>
    <w:bookmarkEnd w:id="78"/>
    <w:bookmarkStart w:id="80"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79">
        <w:r>
          <w:rPr>
            <w:rStyle w:val="Hyperlink"/>
          </w:rPr>
          <w:t xml:space="preserve">http://www.pnas.org/lookup/doi/10.1073/pnas.1710465114</w:t>
        </w:r>
      </w:hyperlink>
    </w:p>
    <w:bookmarkEnd w:id="80"/>
    <w:bookmarkStart w:id="82"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1">
        <w:r>
          <w:rPr>
            <w:rStyle w:val="Hyperlink"/>
          </w:rPr>
          <w:t xml:space="preserve">http://www.sciencemag.org/cgi/doi/10.1126/science.1244693</w:t>
        </w:r>
      </w:hyperlink>
    </w:p>
    <w:bookmarkEnd w:id="82"/>
    <w:bookmarkStart w:id="84"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3">
        <w:r>
          <w:rPr>
            <w:rStyle w:val="Hyperlink"/>
          </w:rPr>
          <w:t xml:space="preserve">http://www.nature.com/articles/s41559-018-0626-z</w:t>
        </w:r>
      </w:hyperlink>
    </w:p>
    <w:bookmarkEnd w:id="84"/>
    <w:bookmarkStart w:id="86"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85">
        <w:r>
          <w:rPr>
            <w:rStyle w:val="Hyperlink"/>
          </w:rPr>
          <w:t xml:space="preserve">https://onlinelibrary.wiley.com/doi/abs/10.1111/gcb.14144</w:t>
        </w:r>
      </w:hyperlink>
    </w:p>
    <w:bookmarkEnd w:id="86"/>
    <w:bookmarkStart w:id="88"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87">
        <w:r>
          <w:rPr>
            <w:rStyle w:val="Hyperlink"/>
          </w:rPr>
          <w:t xml:space="preserve">http://doi.wiley.com/10.1111/nph.15110</w:t>
        </w:r>
      </w:hyperlink>
    </w:p>
    <w:bookmarkEnd w:id="88"/>
    <w:bookmarkStart w:id="90"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89">
        <w:r>
          <w:rPr>
            <w:rStyle w:val="Hyperlink"/>
          </w:rPr>
          <w:t xml:space="preserve">https://www.mdpi.com/2072-4292/11/21/2563</w:t>
        </w:r>
      </w:hyperlink>
    </w:p>
    <w:bookmarkEnd w:id="90"/>
    <w:bookmarkStart w:id="92"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1">
        <w:r>
          <w:rPr>
            <w:rStyle w:val="Hyperlink"/>
          </w:rPr>
          <w:t xml:space="preserve">https://onlinelibrary.wiley.com/doi/abs/10.1111/geb.12747</w:t>
        </w:r>
      </w:hyperlink>
    </w:p>
    <w:bookmarkEnd w:id="92"/>
    <w:bookmarkStart w:id="94"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3">
        <w:r>
          <w:rPr>
            <w:rStyle w:val="Hyperlink"/>
          </w:rPr>
          <w:t xml:space="preserve">http://onlinelibrary.wiley.com/doi/abs/10.1111/j.1365-2486.2007.01439.x</w:t>
        </w:r>
      </w:hyperlink>
    </w:p>
    <w:bookmarkEnd w:id="94"/>
    <w:bookmarkStart w:id="9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95">
        <w:r>
          <w:rPr>
            <w:rStyle w:val="Hyperlink"/>
          </w:rPr>
          <w:t xml:space="preserve">https://science.sciencemag.org/content/368/6494/eaaz9463</w:t>
        </w:r>
      </w:hyperlink>
    </w:p>
    <w:bookmarkEnd w:id="96"/>
    <w:bookmarkStart w:id="98"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97">
        <w:r>
          <w:rPr>
            <w:rStyle w:val="Hyperlink"/>
          </w:rPr>
          <w:t xml:space="preserve">http://www.sciencemag.org/content/early/2011/07/27/science.1201609.abstract</w:t>
        </w:r>
      </w:hyperlink>
    </w:p>
    <w:bookmarkEnd w:id="98"/>
    <w:bookmarkStart w:id="100"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99">
        <w:r>
          <w:rPr>
            <w:rStyle w:val="Hyperlink"/>
          </w:rPr>
          <w:t xml:space="preserve">http://www.pnas.org/lookup/doi/10.1073/pnas.1810512116</w:t>
        </w:r>
      </w:hyperlink>
    </w:p>
    <w:bookmarkEnd w:id="100"/>
    <w:bookmarkStart w:id="102"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1">
        <w:r>
          <w:rPr>
            <w:rStyle w:val="Hyperlink"/>
          </w:rPr>
          <w:t xml:space="preserve">http://onlinelibrary.wiley.com/doi/abs/10.1111/gcb.14767</w:t>
        </w:r>
      </w:hyperlink>
    </w:p>
    <w:bookmarkEnd w:id="102"/>
    <w:bookmarkStart w:id="104"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3">
        <w:r>
          <w:rPr>
            <w:rStyle w:val="Hyperlink"/>
          </w:rPr>
          <w:t xml:space="preserve">http://www.nature.com/articles/s41597-019-0196-1</w:t>
        </w:r>
      </w:hyperlink>
    </w:p>
    <w:bookmarkEnd w:id="104"/>
    <w:bookmarkStart w:id="106"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05">
        <w:r>
          <w:rPr>
            <w:rStyle w:val="Hyperlink"/>
          </w:rPr>
          <w:t xml:space="preserve">http://doi.wiley.com/10.1111/gcb.12822</w:t>
        </w:r>
      </w:hyperlink>
    </w:p>
    <w:bookmarkEnd w:id="106"/>
    <w:bookmarkStart w:id="108"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07">
        <w:r>
          <w:rPr>
            <w:rStyle w:val="Hyperlink"/>
          </w:rPr>
          <w:t xml:space="preserve">http://www.nature.com/articles/s41586-018-0411-9/</w:t>
        </w:r>
      </w:hyperlink>
    </w:p>
    <w:bookmarkEnd w:id="108"/>
    <w:bookmarkStart w:id="110"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09">
        <w:r>
          <w:rPr>
            <w:rStyle w:val="Hyperlink"/>
          </w:rPr>
          <w:t xml:space="preserve">http://doi.wiley.com/10.1111/ele.12765</w:t>
        </w:r>
      </w:hyperlink>
    </w:p>
    <w:bookmarkEnd w:id="110"/>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2020-09-24T00:14:05Z</dcterms:created>
  <dcterms:modified xsi:type="dcterms:W3CDTF">2020-09-24T00:14:05Z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